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Backline List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Guitar Gear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Vox 80 vt+ Guitar Amp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Marshall Haze 40 Guitar Amp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Fender Telecaster Guitar (White)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Fender Telecaster Guitar (Blue)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Ibanez Artcore Guitar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Takamine G Series Acoustic Guitar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Tanglewood Acoustic Guitar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Bass Gear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Mark Bass New Yorker 121 Speaker 500w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Mark Bass Little Mark 250w Head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Epiphone Viola Bass Guitar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Peavey BPX Series Bass Guitar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Drum Gear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Pearl vision drum kit with birch and chrome finish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 x mounted Tom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 x pearl sensitone snare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1x floor Tom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 x bass drum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All pearl p-900 hardware.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Zildjian A custom cymbals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16" crash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18" crash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20" ride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14" hi-hats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Backline.docx</dc:title>
</cp:coreProperties>
</file>