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2DEA6" w14:textId="52429D2E" w:rsidR="00F31767" w:rsidRDefault="00C1658D">
      <w:bookmarkStart w:id="0" w:name="_GoBack"/>
      <w:bookmarkEnd w:id="0"/>
      <w:r>
        <w:t>HOSPITALITY Catering + Getränke: 5 warme, vollwertige Mahlzeiten. Alternativ ein Buy Out von 20€ pro Person. Getränke sollen genügend vorhanden sein. Alkoholisches (Bier, Wein) und Antialkoholisches (Mineral, Softdrinks, Tee, Kaffee)</w:t>
      </w:r>
    </w:p>
    <w:sectPr w:rsidR="00F317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67"/>
    <w:rsid w:val="00C1658D"/>
    <w:rsid w:val="00F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C0A"/>
  <w15:chartTrackingRefBased/>
  <w15:docId w15:val="{004A1D09-0BA1-4828-9DDB-550CE2C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dcterms:created xsi:type="dcterms:W3CDTF">2018-04-11T09:16:00Z</dcterms:created>
  <dcterms:modified xsi:type="dcterms:W3CDTF">2018-04-11T09:17:00Z</dcterms:modified>
</cp:coreProperties>
</file>